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B9A" w:rsidRDefault="00C90B9A"/>
    <w:p w:rsidR="0042680C" w:rsidRPr="0042680C" w:rsidRDefault="0042680C" w:rsidP="0042680C">
      <w:pPr>
        <w:spacing w:after="0"/>
        <w:rPr>
          <w:b/>
        </w:rPr>
      </w:pPr>
      <w:r w:rsidRPr="0042680C">
        <w:rPr>
          <w:b/>
        </w:rPr>
        <w:t xml:space="preserve">Santo Domingo Norte, </w:t>
      </w:r>
      <w:proofErr w:type="spellStart"/>
      <w:r w:rsidRPr="0042680C">
        <w:rPr>
          <w:b/>
        </w:rPr>
        <w:t>Rep</w:t>
      </w:r>
      <w:proofErr w:type="spellEnd"/>
      <w:r w:rsidRPr="0042680C">
        <w:rPr>
          <w:b/>
        </w:rPr>
        <w:t xml:space="preserve"> </w:t>
      </w:r>
      <w:proofErr w:type="spellStart"/>
      <w:r w:rsidRPr="0042680C">
        <w:rPr>
          <w:b/>
        </w:rPr>
        <w:t>Dom</w:t>
      </w:r>
      <w:proofErr w:type="spellEnd"/>
    </w:p>
    <w:p w:rsidR="0042680C" w:rsidRPr="0042680C" w:rsidRDefault="00B72292" w:rsidP="0042680C">
      <w:pPr>
        <w:spacing w:after="0"/>
        <w:rPr>
          <w:b/>
        </w:rPr>
      </w:pPr>
      <w:r>
        <w:rPr>
          <w:b/>
        </w:rPr>
        <w:t>02 de enero del 2026</w:t>
      </w:r>
    </w:p>
    <w:p w:rsidR="00C90B9A" w:rsidRPr="0042680C" w:rsidRDefault="00C90B9A" w:rsidP="0042680C">
      <w:pPr>
        <w:jc w:val="center"/>
        <w:rPr>
          <w:b/>
          <w:sz w:val="24"/>
        </w:rPr>
      </w:pPr>
      <w:r>
        <w:rPr>
          <w:b/>
          <w:sz w:val="24"/>
        </w:rPr>
        <w:t>Informe de promoción y utilidad de los datos</w:t>
      </w:r>
    </w:p>
    <w:p w:rsidR="00C90B9A" w:rsidRDefault="00C90B9A" w:rsidP="0038097F">
      <w:pPr>
        <w:jc w:val="both"/>
      </w:pPr>
      <w:r>
        <w:t xml:space="preserve">Las estadísticas que produce el centro, en todas las áreas de servicios, son consolidadas con periodicidad </w:t>
      </w:r>
      <w:r w:rsidR="0038097F">
        <w:t xml:space="preserve">diaria, </w:t>
      </w:r>
      <w:r>
        <w:t>semanal, mensual, trimestral y anual, a los fines de dar respuestas a las demandas de información de los organismos rectores del sector público. En este orden, se elaboran los siguientes informes:</w:t>
      </w:r>
    </w:p>
    <w:p w:rsidR="00E0744B" w:rsidRDefault="00C90B9A" w:rsidP="00E0744B">
      <w:pPr>
        <w:pStyle w:val="Prrafodelista"/>
        <w:numPr>
          <w:ilvl w:val="0"/>
          <w:numId w:val="1"/>
        </w:numPr>
        <w:spacing w:after="0"/>
        <w:jc w:val="both"/>
      </w:pPr>
      <w:r>
        <w:rPr>
          <w:b/>
        </w:rPr>
        <w:t>Reporte de Producción de Servicios de Salud</w:t>
      </w:r>
      <w:r w:rsidR="0038097F">
        <w:rPr>
          <w:b/>
        </w:rPr>
        <w:t xml:space="preserve"> (Sala Situacional General y Sala Situacional Neonatal)</w:t>
      </w:r>
      <w:r>
        <w:rPr>
          <w:b/>
        </w:rPr>
        <w:t>:</w:t>
      </w:r>
      <w:r>
        <w:t xml:space="preserve"> informe que se prepara con periodicidad mensual, con el propósito de recopilar las atenciones en todas las áreas de servicio del hospital. Cada mes, este reporte se registra </w:t>
      </w:r>
      <w:r w:rsidR="00E0744B">
        <w:t>en el repositorio</w:t>
      </w:r>
      <w:r>
        <w:t xml:space="preserve"> del Servicio Nacional de Salud y el mismo es revisado y aprobado por el encargado de monitorear el cumplimiento de la carga del informe de los centros pertenecientes </w:t>
      </w:r>
      <w:r w:rsidR="0038097F">
        <w:t>a la metropolitana</w:t>
      </w:r>
      <w:r>
        <w:t>.</w:t>
      </w:r>
    </w:p>
    <w:p w:rsidR="00C90B9A" w:rsidRDefault="00C90B9A" w:rsidP="00E0744B">
      <w:pPr>
        <w:spacing w:after="0"/>
        <w:ind w:firstLine="708"/>
        <w:jc w:val="both"/>
      </w:pPr>
      <w:r>
        <w:t xml:space="preserve"> Aquí se incluye el detalle para:</w:t>
      </w:r>
    </w:p>
    <w:p w:rsidR="00C90B9A" w:rsidRDefault="00600F50" w:rsidP="00C90B9A">
      <w:pPr>
        <w:pStyle w:val="Prrafodelista"/>
        <w:numPr>
          <w:ilvl w:val="0"/>
          <w:numId w:val="2"/>
        </w:numPr>
        <w:jc w:val="both"/>
      </w:pPr>
      <w:r>
        <w:t xml:space="preserve">Cantidad de pacientes vistas por emergencias. </w:t>
      </w:r>
    </w:p>
    <w:p w:rsidR="00C90B9A" w:rsidRDefault="00600F50" w:rsidP="00C90B9A">
      <w:pPr>
        <w:pStyle w:val="Prrafodelista"/>
        <w:numPr>
          <w:ilvl w:val="0"/>
          <w:numId w:val="2"/>
        </w:numPr>
        <w:jc w:val="both"/>
      </w:pPr>
      <w:r>
        <w:t xml:space="preserve">Cantidad de pacientes de primera vez y subsecuentes de consulta. </w:t>
      </w:r>
    </w:p>
    <w:p w:rsidR="00C90B9A" w:rsidRDefault="00C90B9A" w:rsidP="00C90B9A">
      <w:pPr>
        <w:pStyle w:val="Prrafodelista"/>
        <w:numPr>
          <w:ilvl w:val="0"/>
          <w:numId w:val="2"/>
        </w:numPr>
        <w:jc w:val="both"/>
      </w:pPr>
      <w:r>
        <w:t xml:space="preserve">Cantidad de </w:t>
      </w:r>
      <w:r w:rsidR="00526AFF">
        <w:t>partos y cesáreas</w:t>
      </w:r>
      <w:r>
        <w:t>,</w:t>
      </w:r>
      <w:r w:rsidR="00600F50">
        <w:t xml:space="preserve"> óbitos, legrados, extranjeras y episiotomías</w:t>
      </w:r>
      <w:r>
        <w:t>.</w:t>
      </w:r>
    </w:p>
    <w:p w:rsidR="00C90B9A" w:rsidRDefault="00600F50" w:rsidP="00C90B9A">
      <w:pPr>
        <w:pStyle w:val="Prrafodelista"/>
        <w:numPr>
          <w:ilvl w:val="0"/>
          <w:numId w:val="2"/>
        </w:numPr>
        <w:jc w:val="both"/>
      </w:pPr>
      <w:r>
        <w:t xml:space="preserve">Causas de cesáreas. </w:t>
      </w:r>
    </w:p>
    <w:p w:rsidR="00C90B9A" w:rsidRDefault="00C90B9A" w:rsidP="00C90B9A">
      <w:pPr>
        <w:pStyle w:val="Prrafodelista"/>
        <w:ind w:left="1440"/>
        <w:jc w:val="both"/>
      </w:pPr>
    </w:p>
    <w:p w:rsidR="00C90B9A" w:rsidRDefault="00C90B9A" w:rsidP="00C90B9A">
      <w:pPr>
        <w:pStyle w:val="Prrafodelista"/>
        <w:numPr>
          <w:ilvl w:val="0"/>
          <w:numId w:val="3"/>
        </w:numPr>
        <w:ind w:left="810" w:hanging="450"/>
        <w:jc w:val="both"/>
      </w:pPr>
      <w:r>
        <w:rPr>
          <w:b/>
        </w:rPr>
        <w:t xml:space="preserve">Informe Estadístico </w:t>
      </w:r>
      <w:r w:rsidR="0038097F">
        <w:rPr>
          <w:b/>
        </w:rPr>
        <w:t>mensual (67-A)</w:t>
      </w:r>
      <w:r>
        <w:rPr>
          <w:b/>
        </w:rPr>
        <w:t>:</w:t>
      </w:r>
      <w:r>
        <w:t xml:space="preserve"> representa el total de atenciones por servicio para cada </w:t>
      </w:r>
      <w:r w:rsidR="0038097F">
        <w:t>mes y trimestre</w:t>
      </w:r>
      <w:r>
        <w:t xml:space="preserve">. Este reporte se entrega de manera formal al finalizar el mes y cumple con la demanda de información requerida para el Portal de Transparencia del Hospital </w:t>
      </w:r>
      <w:r w:rsidR="00526AFF">
        <w:t>Materno Dr. Reynaldo Almanzar</w:t>
      </w:r>
      <w:r>
        <w:t>.</w:t>
      </w:r>
    </w:p>
    <w:p w:rsidR="00600F50" w:rsidRDefault="00600F50" w:rsidP="00600F50">
      <w:pPr>
        <w:pStyle w:val="Prrafodelista"/>
        <w:numPr>
          <w:ilvl w:val="0"/>
          <w:numId w:val="6"/>
        </w:numPr>
        <w:jc w:val="both"/>
      </w:pPr>
      <w:r>
        <w:t xml:space="preserve">Servicios ambulatorios: Consulta Externa, Emergencias, Laboratorio, Imágenes Diagnósticas, Evaluaciones, entre otros. </w:t>
      </w:r>
    </w:p>
    <w:p w:rsidR="00600F50" w:rsidRDefault="00600F50" w:rsidP="00600F50">
      <w:pPr>
        <w:pStyle w:val="Prrafodelista"/>
        <w:numPr>
          <w:ilvl w:val="0"/>
          <w:numId w:val="6"/>
        </w:numPr>
        <w:jc w:val="both"/>
      </w:pPr>
      <w:r>
        <w:t>Servicios de hospitalización: Ingresos, Egresos, Porcentaje de Ocupación, Promedio de Estadía.</w:t>
      </w:r>
    </w:p>
    <w:p w:rsidR="00600F50" w:rsidRDefault="00600F50" w:rsidP="00600F50">
      <w:pPr>
        <w:pStyle w:val="Prrafodelista"/>
        <w:numPr>
          <w:ilvl w:val="0"/>
          <w:numId w:val="6"/>
        </w:numPr>
        <w:jc w:val="both"/>
      </w:pPr>
      <w:r>
        <w:t>Cantidad de partos y cesáreas, programados y de emergencia.</w:t>
      </w:r>
    </w:p>
    <w:p w:rsidR="00600F50" w:rsidRDefault="00600F50" w:rsidP="00600F50">
      <w:pPr>
        <w:pStyle w:val="Prrafodelista"/>
        <w:numPr>
          <w:ilvl w:val="0"/>
          <w:numId w:val="6"/>
        </w:numPr>
        <w:jc w:val="both"/>
      </w:pPr>
      <w:r>
        <w:t xml:space="preserve">Cantidad de procedimientos ginecológicos. </w:t>
      </w:r>
    </w:p>
    <w:p w:rsidR="0014638C" w:rsidRDefault="0014638C" w:rsidP="00600F50">
      <w:pPr>
        <w:pStyle w:val="Prrafodelista"/>
        <w:numPr>
          <w:ilvl w:val="0"/>
          <w:numId w:val="6"/>
        </w:numPr>
        <w:jc w:val="both"/>
      </w:pPr>
      <w:r>
        <w:t xml:space="preserve">Reporte Administrativo. </w:t>
      </w:r>
    </w:p>
    <w:p w:rsidR="0038097F" w:rsidRDefault="0038097F" w:rsidP="0038097F">
      <w:pPr>
        <w:pStyle w:val="Prrafodelista"/>
        <w:ind w:left="810"/>
        <w:jc w:val="both"/>
      </w:pPr>
    </w:p>
    <w:p w:rsidR="0038097F" w:rsidRDefault="0038097F" w:rsidP="0038097F">
      <w:pPr>
        <w:pStyle w:val="Prrafodelista"/>
        <w:numPr>
          <w:ilvl w:val="0"/>
          <w:numId w:val="4"/>
        </w:numPr>
        <w:jc w:val="both"/>
      </w:pPr>
      <w:r w:rsidRPr="0038097F">
        <w:rPr>
          <w:b/>
        </w:rPr>
        <w:t xml:space="preserve">Reporte </w:t>
      </w:r>
      <w:proofErr w:type="spellStart"/>
      <w:r w:rsidRPr="0038097F">
        <w:rPr>
          <w:b/>
        </w:rPr>
        <w:t>Epi</w:t>
      </w:r>
      <w:proofErr w:type="spellEnd"/>
      <w:r w:rsidRPr="0038097F">
        <w:rPr>
          <w:b/>
        </w:rPr>
        <w:t xml:space="preserve"> 1 y </w:t>
      </w:r>
      <w:proofErr w:type="spellStart"/>
      <w:r w:rsidRPr="0038097F">
        <w:rPr>
          <w:b/>
        </w:rPr>
        <w:t>Epi</w:t>
      </w:r>
      <w:proofErr w:type="spellEnd"/>
      <w:r w:rsidRPr="0038097F">
        <w:rPr>
          <w:b/>
        </w:rPr>
        <w:t xml:space="preserve"> 2:</w:t>
      </w:r>
      <w:r>
        <w:t xml:space="preserve"> elaborados cada semana, de acuerdo al calendario epidemiológico, recopila información relativa a los principales eventos de salud identificados en las áreas de Emergencias, hospitalización, consultas. Mediante estos reportes se da respuesta a la demanda de información a la Dirección General de Epidemiologia (DIGEPI).</w:t>
      </w:r>
    </w:p>
    <w:p w:rsidR="00C90B9A" w:rsidRDefault="00526AFF" w:rsidP="00C90B9A">
      <w:pPr>
        <w:jc w:val="both"/>
      </w:pPr>
      <w:r>
        <w:t xml:space="preserve">Cada dato </w:t>
      </w:r>
      <w:r w:rsidR="00E0744B">
        <w:t>es obtenido de la gerencia de estadística la cual se encarga de llenar el 67-A y la</w:t>
      </w:r>
      <w:r w:rsidR="0038097F">
        <w:t xml:space="preserve">s dos sala situacional y la gerencia de epidemiologia se encarga de llenar los dos reporte </w:t>
      </w:r>
      <w:proofErr w:type="spellStart"/>
      <w:r w:rsidR="0038097F">
        <w:t>Epi</w:t>
      </w:r>
      <w:proofErr w:type="spellEnd"/>
      <w:r w:rsidR="0038097F">
        <w:t xml:space="preserve">. </w:t>
      </w:r>
    </w:p>
    <w:p w:rsidR="00526AFF" w:rsidRDefault="00526AFF" w:rsidP="00C90B9A">
      <w:pPr>
        <w:jc w:val="both"/>
      </w:pPr>
      <w:bookmarkStart w:id="0" w:name="_GoBack"/>
      <w:bookmarkEnd w:id="0"/>
    </w:p>
    <w:p w:rsidR="0042680C" w:rsidRPr="0042680C" w:rsidRDefault="00086D1C" w:rsidP="0042680C">
      <w:pPr>
        <w:spacing w:after="0"/>
        <w:rPr>
          <w:b/>
        </w:rPr>
      </w:pPr>
      <w:proofErr w:type="spellStart"/>
      <w:r>
        <w:rPr>
          <w:b/>
        </w:rPr>
        <w:t>Licd</w:t>
      </w:r>
      <w:proofErr w:type="spellEnd"/>
      <w:r>
        <w:rPr>
          <w:b/>
        </w:rPr>
        <w:t xml:space="preserve">. </w:t>
      </w:r>
      <w:r w:rsidR="0042680C" w:rsidRPr="0042680C">
        <w:rPr>
          <w:b/>
        </w:rPr>
        <w:t>Paola Sanchez</w:t>
      </w:r>
    </w:p>
    <w:p w:rsidR="0042680C" w:rsidRPr="0042680C" w:rsidRDefault="0042680C" w:rsidP="0042680C">
      <w:pPr>
        <w:spacing w:after="0"/>
        <w:rPr>
          <w:b/>
        </w:rPr>
      </w:pPr>
      <w:r w:rsidRPr="0042680C">
        <w:rPr>
          <w:b/>
        </w:rPr>
        <w:t xml:space="preserve">Responsable de Acceso a la Información </w:t>
      </w:r>
    </w:p>
    <w:sectPr w:rsidR="0042680C" w:rsidRPr="0042680C">
      <w:headerReference w:type="default" r:id="rId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712" w:rsidRDefault="00E64712" w:rsidP="00C90B9A">
      <w:pPr>
        <w:spacing w:after="0" w:line="240" w:lineRule="auto"/>
      </w:pPr>
      <w:r>
        <w:separator/>
      </w:r>
    </w:p>
  </w:endnote>
  <w:endnote w:type="continuationSeparator" w:id="0">
    <w:p w:rsidR="00E64712" w:rsidRDefault="00E64712" w:rsidP="00C9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712" w:rsidRDefault="00E64712" w:rsidP="00C90B9A">
      <w:pPr>
        <w:spacing w:after="0" w:line="240" w:lineRule="auto"/>
      </w:pPr>
      <w:r>
        <w:separator/>
      </w:r>
    </w:p>
  </w:footnote>
  <w:footnote w:type="continuationSeparator" w:id="0">
    <w:p w:rsidR="00E64712" w:rsidRDefault="00E64712" w:rsidP="00C90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B9A" w:rsidRDefault="00C90B9A">
    <w:pPr>
      <w:pStyle w:val="Encabezado"/>
    </w:pPr>
    <w:r w:rsidRPr="00335EC0">
      <w:rPr>
        <w:noProof/>
        <w:lang w:val="es-US" w:eastAsia="es-US"/>
      </w:rPr>
      <w:drawing>
        <wp:inline distT="0" distB="0" distL="0" distR="0" wp14:anchorId="039459B3" wp14:editId="6D41D25C">
          <wp:extent cx="3870325" cy="476250"/>
          <wp:effectExtent l="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624" cy="479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80200"/>
    <w:multiLevelType w:val="hybridMultilevel"/>
    <w:tmpl w:val="D6700DC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02ACF"/>
    <w:multiLevelType w:val="hybridMultilevel"/>
    <w:tmpl w:val="18A010D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63CAF"/>
    <w:multiLevelType w:val="hybridMultilevel"/>
    <w:tmpl w:val="74928890"/>
    <w:lvl w:ilvl="0" w:tplc="1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9766D1"/>
    <w:multiLevelType w:val="hybridMultilevel"/>
    <w:tmpl w:val="2E0C0F76"/>
    <w:lvl w:ilvl="0" w:tplc="5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5335FB8"/>
    <w:multiLevelType w:val="hybridMultilevel"/>
    <w:tmpl w:val="C1FA3064"/>
    <w:lvl w:ilvl="0" w:tplc="5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07403E7"/>
    <w:multiLevelType w:val="hybridMultilevel"/>
    <w:tmpl w:val="9CFC1236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9A"/>
    <w:rsid w:val="0004002A"/>
    <w:rsid w:val="00086D1C"/>
    <w:rsid w:val="0014638C"/>
    <w:rsid w:val="002D119C"/>
    <w:rsid w:val="00323E99"/>
    <w:rsid w:val="0038097F"/>
    <w:rsid w:val="003A381B"/>
    <w:rsid w:val="0042680C"/>
    <w:rsid w:val="004C6014"/>
    <w:rsid w:val="00526AFF"/>
    <w:rsid w:val="0057747D"/>
    <w:rsid w:val="00600F50"/>
    <w:rsid w:val="006E0F9E"/>
    <w:rsid w:val="00A274F7"/>
    <w:rsid w:val="00B01591"/>
    <w:rsid w:val="00B72292"/>
    <w:rsid w:val="00BC18D0"/>
    <w:rsid w:val="00C90B9A"/>
    <w:rsid w:val="00D02656"/>
    <w:rsid w:val="00E0744B"/>
    <w:rsid w:val="00E63472"/>
    <w:rsid w:val="00E64712"/>
    <w:rsid w:val="00F4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7A6A6A-392C-4E40-AC97-8BA7FC2C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B9A"/>
    <w:pPr>
      <w:spacing w:line="256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0B9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90B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0B9A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C90B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B9A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2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656"/>
    <w:rPr>
      <w:rFonts w:ascii="Segoe UI" w:hAnsi="Segoe UI" w:cs="Segoe UI"/>
      <w:sz w:val="18"/>
      <w:szCs w:val="18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Isabel. Sanchez Alvarez</dc:creator>
  <cp:keywords/>
  <dc:description/>
  <cp:lastModifiedBy>Paola Isabel. Sanchez Alvarez</cp:lastModifiedBy>
  <cp:revision>14</cp:revision>
  <cp:lastPrinted>2024-12-30T15:27:00Z</cp:lastPrinted>
  <dcterms:created xsi:type="dcterms:W3CDTF">2023-03-03T18:35:00Z</dcterms:created>
  <dcterms:modified xsi:type="dcterms:W3CDTF">2025-12-26T17:25:00Z</dcterms:modified>
</cp:coreProperties>
</file>